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0BE814" w14:textId="77777777" w:rsidR="00A4746D" w:rsidRDefault="00000000">
      <w:pPr>
        <w:spacing w:before="1400"/>
        <w:jc w:val="center"/>
        <w:rPr>
          <w:rFonts w:hint="eastAsia"/>
        </w:rPr>
      </w:pPr>
      <w:r>
        <w:rPr>
          <w:b/>
          <w:color w:val="1F4E79"/>
          <w:sz w:val="60"/>
        </w:rPr>
        <w:t>DROPPING JEWELS</w:t>
      </w:r>
      <w:r>
        <w:rPr>
          <w:b/>
          <w:color w:val="1F4E79"/>
          <w:sz w:val="60"/>
        </w:rPr>
        <w:br/>
        <w:t>CONSULTING</w:t>
      </w:r>
    </w:p>
    <w:p w14:paraId="1AD31BDD" w14:textId="77777777" w:rsidR="00A4746D" w:rsidRDefault="00000000">
      <w:pPr>
        <w:jc w:val="center"/>
        <w:rPr>
          <w:rFonts w:hint="eastAsia"/>
        </w:rPr>
      </w:pPr>
      <w:r>
        <w:rPr>
          <w:b/>
          <w:color w:val="DAA520"/>
          <w:sz w:val="48"/>
        </w:rPr>
        <w:t>UNDERSTANDING YOUR CREDIT</w:t>
      </w:r>
    </w:p>
    <w:p w14:paraId="2FE0A389" w14:textId="77777777" w:rsidR="00A4746D" w:rsidRDefault="00000000">
      <w:pPr>
        <w:jc w:val="center"/>
        <w:rPr>
          <w:rFonts w:hint="eastAsia"/>
        </w:rPr>
      </w:pPr>
      <w:r>
        <w:rPr>
          <w:i/>
          <w:color w:val="232323"/>
          <w:sz w:val="30"/>
        </w:rPr>
        <w:t>A Consumer Education Guide</w:t>
      </w:r>
    </w:p>
    <w:p w14:paraId="57EE85BA" w14:textId="77777777" w:rsidR="00A4746D" w:rsidRDefault="00A4746D">
      <w:pPr>
        <w:rPr>
          <w:rFonts w:hint="eastAsia"/>
        </w:rPr>
      </w:pPr>
    </w:p>
    <w:p w14:paraId="748D0AEE" w14:textId="77777777" w:rsidR="00A4746D" w:rsidRDefault="00A4746D">
      <w:pPr>
        <w:pBdr>
          <w:bottom w:val="single" w:sz="18" w:space="1" w:color="D9A520"/>
        </w:pBdr>
        <w:spacing w:after="80"/>
        <w:rPr>
          <w:rFonts w:hint="eastAsia"/>
        </w:rPr>
      </w:pPr>
    </w:p>
    <w:p w14:paraId="61E94EE9" w14:textId="77777777" w:rsidR="00A4746D" w:rsidRDefault="00000000">
      <w:pPr>
        <w:jc w:val="center"/>
        <w:rPr>
          <w:rFonts w:hint="eastAsia"/>
        </w:rPr>
      </w:pPr>
      <w:r>
        <w:rPr>
          <w:b/>
          <w:sz w:val="24"/>
        </w:rPr>
        <w:t>Education First. Consumer Protection Always. Knowledge Is Power.</w:t>
      </w:r>
    </w:p>
    <w:p w14:paraId="4E8523A0" w14:textId="77777777" w:rsidR="00A4746D" w:rsidRDefault="00A4746D">
      <w:pPr>
        <w:rPr>
          <w:rFonts w:hint="eastAsia"/>
        </w:rPr>
      </w:pPr>
    </w:p>
    <w:p w14:paraId="64B488F0" w14:textId="1A5E74F5" w:rsidR="00A4746D" w:rsidRDefault="00000000">
      <w:pPr>
        <w:jc w:val="center"/>
        <w:rPr>
          <w:rFonts w:hint="eastAsia"/>
        </w:rPr>
      </w:pPr>
      <w:r>
        <w:rPr>
          <w:sz w:val="20"/>
        </w:rPr>
        <w:t xml:space="preserve">Updated </w:t>
      </w:r>
      <w:r w:rsidR="00937C63">
        <w:rPr>
          <w:sz w:val="20"/>
        </w:rPr>
        <w:t>July</w:t>
      </w:r>
      <w:r>
        <w:rPr>
          <w:sz w:val="20"/>
        </w:rPr>
        <w:t xml:space="preserve"> </w:t>
      </w:r>
      <w:r w:rsidR="008D4E65">
        <w:rPr>
          <w:sz w:val="20"/>
        </w:rPr>
        <w:t>05</w:t>
      </w:r>
      <w:r>
        <w:rPr>
          <w:sz w:val="20"/>
        </w:rPr>
        <w:t>, 2026</w:t>
      </w:r>
    </w:p>
    <w:p w14:paraId="7CF65AE4" w14:textId="77777777" w:rsidR="00A4746D" w:rsidRDefault="00000000">
      <w:pPr>
        <w:rPr>
          <w:rFonts w:hint="eastAsia"/>
        </w:rPr>
      </w:pPr>
      <w:r>
        <w:br w:type="page"/>
      </w:r>
    </w:p>
    <w:p w14:paraId="1209D8C3" w14:textId="77777777" w:rsidR="00A4746D" w:rsidRDefault="00000000">
      <w:pPr>
        <w:pStyle w:val="Heading1"/>
      </w:pPr>
      <w:r>
        <w:t>INTRODUCTION TO CREDIT</w:t>
      </w:r>
    </w:p>
    <w:p w14:paraId="1ECD74F4" w14:textId="77777777" w:rsidR="00A4746D" w:rsidRDefault="00000000">
      <w:pPr>
        <w:rPr>
          <w:rFonts w:hint="eastAsia"/>
        </w:rPr>
      </w:pPr>
      <w:r>
        <w:t>Before we start talking about fixing, building, or protecting credit, you first need to understand how credit actually works.</w:t>
      </w:r>
    </w:p>
    <w:p w14:paraId="4B0C6C63" w14:textId="77777777" w:rsidR="00A4746D" w:rsidRDefault="00000000">
      <w:pPr>
        <w:rPr>
          <w:rFonts w:hint="eastAsia"/>
        </w:rPr>
      </w:pPr>
      <w:r>
        <w:t>I do not believe in just telling you what to do. I want you to understand why you are doing it.</w:t>
      </w:r>
    </w:p>
    <w:p w14:paraId="36A6F133" w14:textId="77777777" w:rsidR="00A4746D" w:rsidRDefault="00000000">
      <w:pPr>
        <w:rPr>
          <w:rFonts w:hint="eastAsia"/>
        </w:rPr>
      </w:pPr>
      <w:r>
        <w:t>Credit is basically your ability to borrow money, receive goods or services, or access financing now with an agreement that you will repay what you owe later.</w:t>
      </w:r>
    </w:p>
    <w:p w14:paraId="3D800632" w14:textId="77777777" w:rsidR="00A4746D" w:rsidRDefault="00000000">
      <w:pPr>
        <w:rPr>
          <w:rFonts w:hint="eastAsia"/>
        </w:rPr>
      </w:pPr>
      <w:r>
        <w:t>Your credit report tells a story about how you have handled credit. Your credit score takes information from that story and turns it into a number that helps lenders evaluate risk.</w:t>
      </w:r>
    </w:p>
    <w:p w14:paraId="737A8FBE" w14:textId="77777777" w:rsidR="00A4746D" w:rsidRDefault="00000000">
      <w:pPr>
        <w:rPr>
          <w:rFonts w:hint="eastAsia"/>
        </w:rPr>
      </w:pPr>
      <w:r>
        <w:t>For most general-purpose FICO Scores, that number ranges from 300 to 850.</w:t>
      </w:r>
    </w:p>
    <w:tbl>
      <w:tblPr>
        <w:tblW w:w="0" w:type="auto"/>
        <w:jc w:val="center"/>
        <w:tblLook w:val="04A0" w:firstRow="1" w:lastRow="0" w:firstColumn="1" w:lastColumn="0" w:noHBand="0" w:noVBand="1"/>
      </w:tblPr>
      <w:tblGrid>
        <w:gridCol w:w="10080"/>
      </w:tblGrid>
      <w:tr w:rsidR="00A4746D" w14:paraId="75774671" w14:textId="77777777">
        <w:trPr>
          <w:jc w:val="center"/>
        </w:trPr>
        <w:tc>
          <w:tcPr>
            <w:tcW w:w="10080" w:type="dxa"/>
            <w:shd w:val="clear" w:color="auto" w:fill="FFF4CC"/>
            <w:vAlign w:val="center"/>
          </w:tcPr>
          <w:p w14:paraId="3FE95539" w14:textId="77777777" w:rsidR="00A4746D" w:rsidRDefault="00000000">
            <w:pPr>
              <w:rPr>
                <w:rFonts w:hint="eastAsia"/>
              </w:rPr>
            </w:pPr>
            <w:r>
              <w:rPr>
                <w:b/>
                <w:color w:val="1F4E79"/>
              </w:rPr>
              <w:t>IMPORTANT:</w:t>
            </w:r>
            <w:r>
              <w:rPr>
                <w:b/>
                <w:color w:val="1F4E79"/>
              </w:rPr>
              <w:br/>
            </w:r>
            <w:r>
              <w:t>Your credit score and your credit report are NOT the same thing.</w:t>
            </w:r>
          </w:p>
        </w:tc>
      </w:tr>
    </w:tbl>
    <w:p w14:paraId="7BD65BFA" w14:textId="77777777" w:rsidR="00A4746D" w:rsidRDefault="00A4746D">
      <w:pPr>
        <w:spacing w:after="0"/>
        <w:rPr>
          <w:rFonts w:hint="eastAsia"/>
        </w:rPr>
      </w:pPr>
    </w:p>
    <w:p w14:paraId="69937A7B" w14:textId="77777777" w:rsidR="00A4746D" w:rsidRDefault="00000000">
      <w:pPr>
        <w:rPr>
          <w:rFonts w:hint="eastAsia"/>
        </w:rPr>
      </w:pPr>
      <w:r>
        <w:t>Your credit report contains information about your credit accounts, payment history, balances, inquiries, identifying information, and other reported information.</w:t>
      </w:r>
    </w:p>
    <w:p w14:paraId="59CEB9D7" w14:textId="77777777" w:rsidR="00A4746D" w:rsidRDefault="00000000">
      <w:pPr>
        <w:rPr>
          <w:rFonts w:hint="eastAsia"/>
        </w:rPr>
      </w:pPr>
      <w:r>
        <w:t>Your credit score is a number calculated from information contained in your credit report. Neither one guarantees an approval. A lender may also consider income, employment, debt-to-income ratio, assets, down payment, the financing requested, and its own underwriting requirements.</w:t>
      </w:r>
    </w:p>
    <w:p w14:paraId="6ABC624B" w14:textId="77777777" w:rsidR="00A4746D" w:rsidRDefault="00000000">
      <w:pPr>
        <w:rPr>
          <w:rFonts w:hint="eastAsia"/>
        </w:rPr>
      </w:pPr>
      <w:r>
        <w:t>That is why I teach people to stop chasing a number and start understanding the entire credit profile.</w:t>
      </w:r>
    </w:p>
    <w:p w14:paraId="5813B461" w14:textId="77777777" w:rsidR="00A4746D" w:rsidRDefault="00000000">
      <w:pPr>
        <w:pStyle w:val="Heading1"/>
      </w:pPr>
      <w:r>
        <w:t>HOW CREDIT REPORTING WORKS</w:t>
      </w:r>
    </w:p>
    <w:p w14:paraId="06FBE4FA" w14:textId="77777777" w:rsidR="00A4746D" w:rsidRDefault="00000000">
      <w:pPr>
        <w:pStyle w:val="Heading2"/>
      </w:pPr>
      <w:r>
        <w:t>1. You - The Consumer</w:t>
      </w:r>
    </w:p>
    <w:p w14:paraId="088C0857" w14:textId="77777777" w:rsidR="00A4746D" w:rsidRDefault="00000000">
      <w:pPr>
        <w:rPr>
          <w:rFonts w:hint="eastAsia"/>
        </w:rPr>
      </w:pPr>
      <w:r>
        <w:t>You are the person using credit, applying for financing, making payments, reviewing your information, and exercising your rights as a consumer. You have a responsibility to manage accounts you legitimately owe, but you also have the right to expect information reported about you to be accurate.</w:t>
      </w:r>
    </w:p>
    <w:p w14:paraId="7F28A9F3" w14:textId="77777777" w:rsidR="00A4746D" w:rsidRDefault="00000000">
      <w:pPr>
        <w:pStyle w:val="Heading2"/>
      </w:pPr>
      <w:r>
        <w:t>2. Consumer Reporting Agencies</w:t>
      </w:r>
    </w:p>
    <w:p w14:paraId="560CBFE5" w14:textId="77777777" w:rsidR="00A4746D" w:rsidRDefault="00000000">
      <w:pPr>
        <w:rPr>
          <w:rFonts w:hint="eastAsia"/>
        </w:rPr>
      </w:pPr>
      <w:r>
        <w:t>The three nationwide consumer reporting agencies most consumers recognize are Equifax, Experian, and TransUnion.</w:t>
      </w:r>
    </w:p>
    <w:p w14:paraId="422A8E55" w14:textId="77777777" w:rsidR="00A4746D" w:rsidRDefault="00000000">
      <w:pPr>
        <w:rPr>
          <w:rFonts w:hint="eastAsia"/>
        </w:rPr>
      </w:pPr>
      <w:r>
        <w:t>These companies collect information received from companies that furnish consumer information. Not every creditor reports to every consumer reporting agency, and information does not necessarily update at exactly the same time. That is one reason your three credit reports may not look exactly alike.</w:t>
      </w:r>
    </w:p>
    <w:p w14:paraId="75A31A0F" w14:textId="77777777" w:rsidR="00A4746D" w:rsidRDefault="00000000">
      <w:pPr>
        <w:rPr>
          <w:rFonts w:hint="eastAsia"/>
        </w:rPr>
      </w:pPr>
      <w:r>
        <w:t>There are also secondary consumer reporting agencies that collect specialized information involving banking, employment, insurance, tenant screening, utilities, telecommunications, and other consumer activity.</w:t>
      </w:r>
    </w:p>
    <w:p w14:paraId="0D2BA0B9" w14:textId="77777777" w:rsidR="00A4746D" w:rsidRDefault="00000000">
      <w:pPr>
        <w:pStyle w:val="Heading2"/>
      </w:pPr>
      <w:r>
        <w:t>3. Data Furnishers</w:t>
      </w:r>
    </w:p>
    <w:p w14:paraId="5DC182A4" w14:textId="77777777" w:rsidR="00A4746D" w:rsidRDefault="00000000">
      <w:pPr>
        <w:rPr>
          <w:rFonts w:hint="eastAsia"/>
        </w:rPr>
      </w:pPr>
      <w:r>
        <w:t>Banks, credit card companies, mortgage companies, auto lenders, student-loan servicers, debt collectors, and other companies may furnish information about accounts to consumer reporting agencies.</w:t>
      </w:r>
    </w:p>
    <w:p w14:paraId="63BDB893" w14:textId="77777777" w:rsidR="00A4746D" w:rsidRDefault="00000000">
      <w:pPr>
        <w:pStyle w:val="ListBullet"/>
        <w:rPr>
          <w:rFonts w:hint="eastAsia"/>
        </w:rPr>
      </w:pPr>
      <w:r>
        <w:t>Account status</w:t>
      </w:r>
    </w:p>
    <w:p w14:paraId="005EC7EE" w14:textId="77777777" w:rsidR="00A4746D" w:rsidRDefault="00000000">
      <w:pPr>
        <w:pStyle w:val="ListBullet"/>
        <w:rPr>
          <w:rFonts w:hint="eastAsia"/>
        </w:rPr>
      </w:pPr>
      <w:r>
        <w:t>Balance</w:t>
      </w:r>
    </w:p>
    <w:p w14:paraId="4F28B7D9" w14:textId="77777777" w:rsidR="00A4746D" w:rsidRDefault="00000000">
      <w:pPr>
        <w:pStyle w:val="ListBullet"/>
        <w:rPr>
          <w:rFonts w:hint="eastAsia"/>
        </w:rPr>
      </w:pPr>
      <w:r>
        <w:t>Credit limit</w:t>
      </w:r>
    </w:p>
    <w:p w14:paraId="6821D71F" w14:textId="77777777" w:rsidR="00A4746D" w:rsidRDefault="00000000">
      <w:pPr>
        <w:pStyle w:val="ListBullet"/>
        <w:rPr>
          <w:rFonts w:hint="eastAsia"/>
        </w:rPr>
      </w:pPr>
      <w:r>
        <w:t>Payment history</w:t>
      </w:r>
    </w:p>
    <w:p w14:paraId="7546BFF0" w14:textId="77777777" w:rsidR="00A4746D" w:rsidRDefault="00000000">
      <w:pPr>
        <w:pStyle w:val="ListBullet"/>
        <w:rPr>
          <w:rFonts w:hint="eastAsia"/>
        </w:rPr>
      </w:pPr>
      <w:r>
        <w:t>Date opened</w:t>
      </w:r>
    </w:p>
    <w:p w14:paraId="363E47CF" w14:textId="77777777" w:rsidR="00A4746D" w:rsidRDefault="00000000">
      <w:pPr>
        <w:pStyle w:val="ListBullet"/>
        <w:rPr>
          <w:rFonts w:hint="eastAsia"/>
        </w:rPr>
      </w:pPr>
      <w:r>
        <w:t>Date updated</w:t>
      </w:r>
    </w:p>
    <w:p w14:paraId="0E55A027" w14:textId="77777777" w:rsidR="00A4746D" w:rsidRDefault="00000000">
      <w:pPr>
        <w:pStyle w:val="ListBullet"/>
        <w:rPr>
          <w:rFonts w:hint="eastAsia"/>
        </w:rPr>
      </w:pPr>
      <w:r>
        <w:t>Past-due amount</w:t>
      </w:r>
    </w:p>
    <w:p w14:paraId="05EDA461" w14:textId="77777777" w:rsidR="00A4746D" w:rsidRDefault="00000000">
      <w:pPr>
        <w:pStyle w:val="ListBullet"/>
        <w:rPr>
          <w:rFonts w:hint="eastAsia"/>
        </w:rPr>
      </w:pPr>
      <w:r>
        <w:t>Account type</w:t>
      </w:r>
    </w:p>
    <w:p w14:paraId="08C7D729" w14:textId="77777777" w:rsidR="00A4746D" w:rsidRDefault="00000000">
      <w:pPr>
        <w:pStyle w:val="ListBullet"/>
        <w:rPr>
          <w:rFonts w:hint="eastAsia"/>
        </w:rPr>
      </w:pPr>
      <w:r>
        <w:t>Account ownership</w:t>
      </w:r>
    </w:p>
    <w:p w14:paraId="75960307" w14:textId="77777777" w:rsidR="00A4746D" w:rsidRDefault="00000000">
      <w:pPr>
        <w:pStyle w:val="ListBullet"/>
        <w:rPr>
          <w:rFonts w:hint="eastAsia"/>
        </w:rPr>
      </w:pPr>
      <w:r>
        <w:t>Other account information</w:t>
      </w:r>
    </w:p>
    <w:p w14:paraId="16FF1A28" w14:textId="77777777" w:rsidR="00A4746D" w:rsidRDefault="00000000">
      <w:pPr>
        <w:pStyle w:val="Heading1"/>
      </w:pPr>
      <w:r>
        <w:t>THE 5 MAJOR FICO SCORE CATEGORIES</w:t>
      </w:r>
    </w:p>
    <w:p w14:paraId="539B38B0" w14:textId="77777777" w:rsidR="00A4746D" w:rsidRDefault="00000000">
      <w:pPr>
        <w:rPr>
          <w:rFonts w:hint="eastAsia"/>
        </w:rPr>
      </w:pPr>
      <w:r>
        <w:t>A traditional FICO score generally ranges from 300 to 850. That gives us a 550-point scoring range. I use that 550-point range as an educational way to show how much weight each major FICO category can represent.</w:t>
      </w:r>
    </w:p>
    <w:tbl>
      <w:tblPr>
        <w:tblStyle w:val="TableGrid"/>
        <w:tblW w:w="0" w:type="auto"/>
        <w:jc w:val="center"/>
        <w:tblLook w:val="04A0" w:firstRow="1" w:lastRow="0" w:firstColumn="1" w:lastColumn="0" w:noHBand="0" w:noVBand="1"/>
      </w:tblPr>
      <w:tblGrid>
        <w:gridCol w:w="3360"/>
        <w:gridCol w:w="3360"/>
        <w:gridCol w:w="3360"/>
      </w:tblGrid>
      <w:tr w:rsidR="00A4746D" w14:paraId="2421B42D" w14:textId="77777777">
        <w:trPr>
          <w:jc w:val="center"/>
        </w:trPr>
        <w:tc>
          <w:tcPr>
            <w:tcW w:w="3360" w:type="dxa"/>
            <w:shd w:val="clear" w:color="auto" w:fill="1F4E79"/>
          </w:tcPr>
          <w:p w14:paraId="04DA8EB5" w14:textId="77777777" w:rsidR="00A4746D" w:rsidRDefault="00000000">
            <w:pPr>
              <w:rPr>
                <w:rFonts w:hint="eastAsia"/>
              </w:rPr>
            </w:pPr>
            <w:r>
              <w:rPr>
                <w:b/>
                <w:color w:val="FFFFFF"/>
              </w:rPr>
              <w:t>Category</w:t>
            </w:r>
          </w:p>
        </w:tc>
        <w:tc>
          <w:tcPr>
            <w:tcW w:w="3360" w:type="dxa"/>
            <w:shd w:val="clear" w:color="auto" w:fill="1F4E79"/>
          </w:tcPr>
          <w:p w14:paraId="4FA17644" w14:textId="77777777" w:rsidR="00A4746D" w:rsidRDefault="00000000">
            <w:pPr>
              <w:rPr>
                <w:rFonts w:hint="eastAsia"/>
              </w:rPr>
            </w:pPr>
            <w:r>
              <w:rPr>
                <w:b/>
                <w:color w:val="FFFFFF"/>
              </w:rPr>
              <w:t>General Weight</w:t>
            </w:r>
          </w:p>
        </w:tc>
        <w:tc>
          <w:tcPr>
            <w:tcW w:w="3360" w:type="dxa"/>
            <w:shd w:val="clear" w:color="auto" w:fill="1F4E79"/>
          </w:tcPr>
          <w:p w14:paraId="0042F79B" w14:textId="77777777" w:rsidR="00A4746D" w:rsidRDefault="00000000">
            <w:pPr>
              <w:rPr>
                <w:rFonts w:hint="eastAsia"/>
              </w:rPr>
            </w:pPr>
            <w:r>
              <w:rPr>
                <w:b/>
                <w:color w:val="FFFFFF"/>
              </w:rPr>
              <w:t>Educational Equivalent</w:t>
            </w:r>
          </w:p>
        </w:tc>
      </w:tr>
      <w:tr w:rsidR="00A4746D" w14:paraId="24A744E4" w14:textId="77777777">
        <w:trPr>
          <w:jc w:val="center"/>
        </w:trPr>
        <w:tc>
          <w:tcPr>
            <w:tcW w:w="3360" w:type="dxa"/>
          </w:tcPr>
          <w:p w14:paraId="3C09E509" w14:textId="77777777" w:rsidR="00A4746D" w:rsidRDefault="00000000">
            <w:pPr>
              <w:rPr>
                <w:rFonts w:hint="eastAsia"/>
              </w:rPr>
            </w:pPr>
            <w:r>
              <w:t>Payment History</w:t>
            </w:r>
          </w:p>
        </w:tc>
        <w:tc>
          <w:tcPr>
            <w:tcW w:w="3360" w:type="dxa"/>
          </w:tcPr>
          <w:p w14:paraId="62A46575" w14:textId="77777777" w:rsidR="00A4746D" w:rsidRDefault="00000000">
            <w:pPr>
              <w:rPr>
                <w:rFonts w:hint="eastAsia"/>
              </w:rPr>
            </w:pPr>
            <w:r>
              <w:t>35%</w:t>
            </w:r>
          </w:p>
        </w:tc>
        <w:tc>
          <w:tcPr>
            <w:tcW w:w="3360" w:type="dxa"/>
          </w:tcPr>
          <w:p w14:paraId="57D51584" w14:textId="77777777" w:rsidR="00A4746D" w:rsidRDefault="00000000">
            <w:pPr>
              <w:rPr>
                <w:rFonts w:hint="eastAsia"/>
              </w:rPr>
            </w:pPr>
            <w:r>
              <w:t>Up to 192.5 points</w:t>
            </w:r>
          </w:p>
        </w:tc>
      </w:tr>
      <w:tr w:rsidR="00A4746D" w14:paraId="593911C2" w14:textId="77777777">
        <w:trPr>
          <w:jc w:val="center"/>
        </w:trPr>
        <w:tc>
          <w:tcPr>
            <w:tcW w:w="3360" w:type="dxa"/>
          </w:tcPr>
          <w:p w14:paraId="400AB3CC" w14:textId="77777777" w:rsidR="00A4746D" w:rsidRDefault="00000000">
            <w:pPr>
              <w:rPr>
                <w:rFonts w:hint="eastAsia"/>
              </w:rPr>
            </w:pPr>
            <w:r>
              <w:t>Amounts Owed / Utilization</w:t>
            </w:r>
          </w:p>
        </w:tc>
        <w:tc>
          <w:tcPr>
            <w:tcW w:w="3360" w:type="dxa"/>
          </w:tcPr>
          <w:p w14:paraId="75A07232" w14:textId="77777777" w:rsidR="00A4746D" w:rsidRDefault="00000000">
            <w:pPr>
              <w:rPr>
                <w:rFonts w:hint="eastAsia"/>
              </w:rPr>
            </w:pPr>
            <w:r>
              <w:t>30%</w:t>
            </w:r>
          </w:p>
        </w:tc>
        <w:tc>
          <w:tcPr>
            <w:tcW w:w="3360" w:type="dxa"/>
          </w:tcPr>
          <w:p w14:paraId="2749E73F" w14:textId="77777777" w:rsidR="00A4746D" w:rsidRDefault="00000000">
            <w:pPr>
              <w:rPr>
                <w:rFonts w:hint="eastAsia"/>
              </w:rPr>
            </w:pPr>
            <w:r>
              <w:t>Up to 165 points</w:t>
            </w:r>
          </w:p>
        </w:tc>
      </w:tr>
      <w:tr w:rsidR="00A4746D" w14:paraId="1356104E" w14:textId="77777777">
        <w:trPr>
          <w:jc w:val="center"/>
        </w:trPr>
        <w:tc>
          <w:tcPr>
            <w:tcW w:w="3360" w:type="dxa"/>
          </w:tcPr>
          <w:p w14:paraId="7D6B3051" w14:textId="77777777" w:rsidR="00A4746D" w:rsidRDefault="00000000">
            <w:pPr>
              <w:rPr>
                <w:rFonts w:hint="eastAsia"/>
              </w:rPr>
            </w:pPr>
            <w:r>
              <w:t>Length of Credit History</w:t>
            </w:r>
          </w:p>
        </w:tc>
        <w:tc>
          <w:tcPr>
            <w:tcW w:w="3360" w:type="dxa"/>
          </w:tcPr>
          <w:p w14:paraId="14298266" w14:textId="77777777" w:rsidR="00A4746D" w:rsidRDefault="00000000">
            <w:pPr>
              <w:rPr>
                <w:rFonts w:hint="eastAsia"/>
              </w:rPr>
            </w:pPr>
            <w:r>
              <w:t>15%</w:t>
            </w:r>
          </w:p>
        </w:tc>
        <w:tc>
          <w:tcPr>
            <w:tcW w:w="3360" w:type="dxa"/>
          </w:tcPr>
          <w:p w14:paraId="177C36FC" w14:textId="77777777" w:rsidR="00A4746D" w:rsidRDefault="00000000">
            <w:pPr>
              <w:rPr>
                <w:rFonts w:hint="eastAsia"/>
              </w:rPr>
            </w:pPr>
            <w:r>
              <w:t>Up to 82.5 points</w:t>
            </w:r>
          </w:p>
        </w:tc>
      </w:tr>
      <w:tr w:rsidR="00A4746D" w14:paraId="1E3BE25A" w14:textId="77777777">
        <w:trPr>
          <w:jc w:val="center"/>
        </w:trPr>
        <w:tc>
          <w:tcPr>
            <w:tcW w:w="3360" w:type="dxa"/>
          </w:tcPr>
          <w:p w14:paraId="67BC40FF" w14:textId="77777777" w:rsidR="00A4746D" w:rsidRDefault="00000000">
            <w:pPr>
              <w:rPr>
                <w:rFonts w:hint="eastAsia"/>
              </w:rPr>
            </w:pPr>
            <w:r>
              <w:t>New Credit</w:t>
            </w:r>
          </w:p>
        </w:tc>
        <w:tc>
          <w:tcPr>
            <w:tcW w:w="3360" w:type="dxa"/>
          </w:tcPr>
          <w:p w14:paraId="3C166D79" w14:textId="77777777" w:rsidR="00A4746D" w:rsidRDefault="00000000">
            <w:pPr>
              <w:rPr>
                <w:rFonts w:hint="eastAsia"/>
              </w:rPr>
            </w:pPr>
            <w:r>
              <w:t>10%</w:t>
            </w:r>
          </w:p>
        </w:tc>
        <w:tc>
          <w:tcPr>
            <w:tcW w:w="3360" w:type="dxa"/>
          </w:tcPr>
          <w:p w14:paraId="437297F1" w14:textId="77777777" w:rsidR="00A4746D" w:rsidRDefault="00000000">
            <w:pPr>
              <w:rPr>
                <w:rFonts w:hint="eastAsia"/>
              </w:rPr>
            </w:pPr>
            <w:r>
              <w:t>Up to 55 points</w:t>
            </w:r>
          </w:p>
        </w:tc>
      </w:tr>
      <w:tr w:rsidR="00A4746D" w14:paraId="43247FEF" w14:textId="77777777">
        <w:trPr>
          <w:jc w:val="center"/>
        </w:trPr>
        <w:tc>
          <w:tcPr>
            <w:tcW w:w="3360" w:type="dxa"/>
          </w:tcPr>
          <w:p w14:paraId="7A675C73" w14:textId="77777777" w:rsidR="00A4746D" w:rsidRDefault="00000000">
            <w:pPr>
              <w:rPr>
                <w:rFonts w:hint="eastAsia"/>
              </w:rPr>
            </w:pPr>
            <w:r>
              <w:t>Credit Mix</w:t>
            </w:r>
          </w:p>
        </w:tc>
        <w:tc>
          <w:tcPr>
            <w:tcW w:w="3360" w:type="dxa"/>
          </w:tcPr>
          <w:p w14:paraId="6A52AC19" w14:textId="77777777" w:rsidR="00A4746D" w:rsidRDefault="00000000">
            <w:pPr>
              <w:rPr>
                <w:rFonts w:hint="eastAsia"/>
              </w:rPr>
            </w:pPr>
            <w:r>
              <w:t>10%</w:t>
            </w:r>
          </w:p>
        </w:tc>
        <w:tc>
          <w:tcPr>
            <w:tcW w:w="3360" w:type="dxa"/>
          </w:tcPr>
          <w:p w14:paraId="00A132BF" w14:textId="77777777" w:rsidR="00A4746D" w:rsidRDefault="00000000">
            <w:pPr>
              <w:rPr>
                <w:rFonts w:hint="eastAsia"/>
              </w:rPr>
            </w:pPr>
            <w:r>
              <w:t>Up to 55 points</w:t>
            </w:r>
          </w:p>
        </w:tc>
      </w:tr>
      <w:tr w:rsidR="00A4746D" w14:paraId="5952F186" w14:textId="77777777">
        <w:trPr>
          <w:jc w:val="center"/>
        </w:trPr>
        <w:tc>
          <w:tcPr>
            <w:tcW w:w="3360" w:type="dxa"/>
          </w:tcPr>
          <w:p w14:paraId="6A4CD6A7" w14:textId="77777777" w:rsidR="00A4746D" w:rsidRDefault="00000000">
            <w:pPr>
              <w:rPr>
                <w:rFonts w:hint="eastAsia"/>
              </w:rPr>
            </w:pPr>
            <w:r>
              <w:t>TOTAL</w:t>
            </w:r>
          </w:p>
        </w:tc>
        <w:tc>
          <w:tcPr>
            <w:tcW w:w="3360" w:type="dxa"/>
          </w:tcPr>
          <w:p w14:paraId="20D3C060" w14:textId="77777777" w:rsidR="00A4746D" w:rsidRDefault="00000000">
            <w:pPr>
              <w:rPr>
                <w:rFonts w:hint="eastAsia"/>
              </w:rPr>
            </w:pPr>
            <w:r>
              <w:t>100%</w:t>
            </w:r>
          </w:p>
        </w:tc>
        <w:tc>
          <w:tcPr>
            <w:tcW w:w="3360" w:type="dxa"/>
          </w:tcPr>
          <w:p w14:paraId="7687F871" w14:textId="77777777" w:rsidR="00A4746D" w:rsidRDefault="00000000">
            <w:pPr>
              <w:rPr>
                <w:rFonts w:hint="eastAsia"/>
              </w:rPr>
            </w:pPr>
            <w:r>
              <w:t>550-point range</w:t>
            </w:r>
          </w:p>
        </w:tc>
      </w:tr>
    </w:tbl>
    <w:tbl>
      <w:tblPr>
        <w:tblW w:w="0" w:type="auto"/>
        <w:jc w:val="center"/>
        <w:tblLook w:val="04A0" w:firstRow="1" w:lastRow="0" w:firstColumn="1" w:lastColumn="0" w:noHBand="0" w:noVBand="1"/>
      </w:tblPr>
      <w:tblGrid>
        <w:gridCol w:w="10080"/>
      </w:tblGrid>
      <w:tr w:rsidR="00A4746D" w14:paraId="071E277E" w14:textId="77777777">
        <w:trPr>
          <w:jc w:val="center"/>
        </w:trPr>
        <w:tc>
          <w:tcPr>
            <w:tcW w:w="10080" w:type="dxa"/>
            <w:shd w:val="clear" w:color="auto" w:fill="FFF4CC"/>
            <w:vAlign w:val="center"/>
          </w:tcPr>
          <w:p w14:paraId="5E087FDD" w14:textId="77777777" w:rsidR="00A4746D" w:rsidRDefault="00000000">
            <w:pPr>
              <w:rPr>
                <w:rFonts w:hint="eastAsia"/>
              </w:rPr>
            </w:pPr>
            <w:r>
              <w:rPr>
                <w:b/>
                <w:color w:val="1F4E79"/>
              </w:rPr>
              <w:t>DROPPING JEWELS NOTE:</w:t>
            </w:r>
            <w:r>
              <w:rPr>
                <w:b/>
                <w:color w:val="1F4E79"/>
              </w:rPr>
              <w:br/>
            </w:r>
            <w:r>
              <w:t>These numbers are an educational illustration of how much of the 550-point FICO scoring range each category represents. It does NOT mean one mistake automatically costs the full number of points. The actual impact depends on the consumer's entire credit profile and the scoring model being used.</w:t>
            </w:r>
          </w:p>
        </w:tc>
      </w:tr>
    </w:tbl>
    <w:p w14:paraId="2ADDB6F6" w14:textId="77777777" w:rsidR="00A4746D" w:rsidRDefault="00A4746D">
      <w:pPr>
        <w:spacing w:after="0"/>
        <w:rPr>
          <w:rFonts w:hint="eastAsia"/>
        </w:rPr>
      </w:pPr>
    </w:p>
    <w:p w14:paraId="16C0B8F6" w14:textId="77777777" w:rsidR="00A4746D" w:rsidRDefault="00000000">
      <w:pPr>
        <w:pStyle w:val="Heading1"/>
      </w:pPr>
      <w:r>
        <w:t>1. PAYMENT HISTORY - 35%</w:t>
      </w:r>
    </w:p>
    <w:p w14:paraId="7A8474AE" w14:textId="77777777" w:rsidR="00A4746D" w:rsidRDefault="00000000">
      <w:pPr>
        <w:rPr>
          <w:rFonts w:hint="eastAsia"/>
        </w:rPr>
      </w:pPr>
      <w:r>
        <w:rPr>
          <w:b/>
          <w:color w:val="DAA520"/>
          <w:sz w:val="24"/>
        </w:rPr>
        <w:t>UP TO 192.5 POINTS POTENTIALLY AT RISK</w:t>
      </w:r>
    </w:p>
    <w:p w14:paraId="467D23B5" w14:textId="77777777" w:rsidR="00A4746D" w:rsidRDefault="00000000">
      <w:pPr>
        <w:rPr>
          <w:rFonts w:hint="eastAsia"/>
        </w:rPr>
      </w:pPr>
      <w:r>
        <w:t>This is the BIG one. Payment history represents approximately 35% of a FICO Score, making it the largest of the five general categories.</w:t>
      </w:r>
    </w:p>
    <w:p w14:paraId="49CFB131" w14:textId="77777777" w:rsidR="00A4746D" w:rsidRDefault="00000000">
      <w:pPr>
        <w:rPr>
          <w:rFonts w:hint="eastAsia"/>
        </w:rPr>
      </w:pPr>
      <w:r>
        <w:t>When somebody lends you money, one of the biggest questions is simple: Are you going to pay me back like you agreed?</w:t>
      </w:r>
    </w:p>
    <w:p w14:paraId="3FCD87DB" w14:textId="77777777" w:rsidR="00A4746D" w:rsidRDefault="00000000">
      <w:pPr>
        <w:rPr>
          <w:rFonts w:hint="eastAsia"/>
        </w:rPr>
      </w:pPr>
      <w:r>
        <w:t>Late payments can become increasingly serious depending on how late the payment became, how recently it happened, how often it happened, how many accounts were affected, and the rest of the consumer's credit profile.</w:t>
      </w:r>
    </w:p>
    <w:p w14:paraId="4AE1BB58" w14:textId="77777777" w:rsidR="00A4746D" w:rsidRDefault="00000000">
      <w:pPr>
        <w:rPr>
          <w:rFonts w:hint="eastAsia"/>
        </w:rPr>
      </w:pPr>
      <w:r>
        <w:t>A 30-day late payment is not the same thing as an account that progresses to 60, 90, or 120+ days late. One mistake does not automatically destroy your credit forever, but repeated late payments tell a lender something different from years of paying obligations as agreed.</w:t>
      </w:r>
    </w:p>
    <w:tbl>
      <w:tblPr>
        <w:tblW w:w="0" w:type="auto"/>
        <w:jc w:val="center"/>
        <w:tblLook w:val="04A0" w:firstRow="1" w:lastRow="0" w:firstColumn="1" w:lastColumn="0" w:noHBand="0" w:noVBand="1"/>
      </w:tblPr>
      <w:tblGrid>
        <w:gridCol w:w="10080"/>
      </w:tblGrid>
      <w:tr w:rsidR="00A4746D" w14:paraId="46F75DBE" w14:textId="77777777">
        <w:trPr>
          <w:jc w:val="center"/>
        </w:trPr>
        <w:tc>
          <w:tcPr>
            <w:tcW w:w="10080" w:type="dxa"/>
            <w:shd w:val="clear" w:color="auto" w:fill="FFF4CC"/>
            <w:vAlign w:val="center"/>
          </w:tcPr>
          <w:p w14:paraId="50DCF031" w14:textId="77777777" w:rsidR="00A4746D" w:rsidRDefault="00000000">
            <w:pPr>
              <w:rPr>
                <w:rFonts w:hint="eastAsia"/>
              </w:rPr>
            </w:pPr>
            <w:r>
              <w:rPr>
                <w:b/>
                <w:color w:val="1F4E79"/>
              </w:rPr>
              <w:t>THE JEWEL</w:t>
            </w:r>
            <w:r>
              <w:rPr>
                <w:b/>
                <w:color w:val="1F4E79"/>
              </w:rPr>
              <w:br/>
            </w:r>
            <w:r>
              <w:t>Protect your payment history. If you cannot pay the entire credit-card balance, that does not mean you should skip the payment. At minimum, make the required payment by the due date, then work on reducing the balance. Payment history and utilization are two different things.</w:t>
            </w:r>
          </w:p>
        </w:tc>
      </w:tr>
    </w:tbl>
    <w:p w14:paraId="1AD428FA" w14:textId="77777777" w:rsidR="00A4746D" w:rsidRDefault="00A4746D">
      <w:pPr>
        <w:spacing w:after="0"/>
        <w:rPr>
          <w:rFonts w:hint="eastAsia"/>
        </w:rPr>
      </w:pPr>
    </w:p>
    <w:p w14:paraId="5834C853" w14:textId="77777777" w:rsidR="00A4746D" w:rsidRDefault="00000000">
      <w:pPr>
        <w:pStyle w:val="Heading1"/>
      </w:pPr>
      <w:r>
        <w:t>2. AMOUNTS OWED / UTILIZATION - 30%</w:t>
      </w:r>
    </w:p>
    <w:p w14:paraId="7BF5F942" w14:textId="77777777" w:rsidR="00A4746D" w:rsidRDefault="00000000">
      <w:pPr>
        <w:rPr>
          <w:rFonts w:hint="eastAsia"/>
        </w:rPr>
      </w:pPr>
      <w:r>
        <w:rPr>
          <w:b/>
          <w:color w:val="DAA520"/>
          <w:sz w:val="24"/>
        </w:rPr>
        <w:t>UP TO 165 POINTS POTENTIALLY AT RISK</w:t>
      </w:r>
    </w:p>
    <w:p w14:paraId="26684267" w14:textId="77777777" w:rsidR="00A4746D" w:rsidRDefault="00000000">
      <w:pPr>
        <w:rPr>
          <w:rFonts w:hint="eastAsia"/>
        </w:rPr>
      </w:pPr>
      <w:r>
        <w:t>This category represents approximately 30% of a FICO Score, and this is where credit utilization becomes extremely important.</w:t>
      </w:r>
    </w:p>
    <w:p w14:paraId="08C832C7" w14:textId="77777777" w:rsidR="00A4746D" w:rsidRDefault="00000000">
      <w:pPr>
        <w:rPr>
          <w:rFonts w:hint="eastAsia"/>
        </w:rPr>
      </w:pPr>
      <w:r>
        <w:t>Credit utilization measures how much of your available revolving credit you are using.</w:t>
      </w:r>
    </w:p>
    <w:p w14:paraId="0350A91B" w14:textId="77777777" w:rsidR="00A4746D" w:rsidRDefault="00000000">
      <w:pPr>
        <w:rPr>
          <w:rFonts w:hint="eastAsia"/>
        </w:rPr>
      </w:pPr>
      <w:r>
        <w:t>Formula: Reported Credit Card Balance ÷ Credit Limit × 100 = Utilization Percentage.</w:t>
      </w:r>
    </w:p>
    <w:p w14:paraId="487415C0" w14:textId="77777777" w:rsidR="00A4746D" w:rsidRDefault="00000000">
      <w:pPr>
        <w:rPr>
          <w:rFonts w:hint="eastAsia"/>
        </w:rPr>
      </w:pPr>
      <w:r>
        <w:t>Example: A $300 reported balance on a $1,000 limit equals 30% utilization. A $100 reported balance equals 10%. A $50 reported balance equals 5%.</w:t>
      </w:r>
    </w:p>
    <w:p w14:paraId="28732F49" w14:textId="77777777" w:rsidR="00A4746D" w:rsidRDefault="00000000">
      <w:pPr>
        <w:rPr>
          <w:rFonts w:hint="eastAsia"/>
        </w:rPr>
      </w:pPr>
      <w:r>
        <w:t>My educational target is simple: KEEP REVOLVING UTILIZATION AT 10% OR BELOW. If you can responsibly have the debt paid to $0, that is excellent financially. You do not need to carry interest-bearing debt from month to month just to build credit.</w:t>
      </w:r>
    </w:p>
    <w:tbl>
      <w:tblPr>
        <w:tblW w:w="0" w:type="auto"/>
        <w:jc w:val="center"/>
        <w:tblLook w:val="04A0" w:firstRow="1" w:lastRow="0" w:firstColumn="1" w:lastColumn="0" w:noHBand="0" w:noVBand="1"/>
      </w:tblPr>
      <w:tblGrid>
        <w:gridCol w:w="10080"/>
      </w:tblGrid>
      <w:tr w:rsidR="00A4746D" w14:paraId="5493A9FC" w14:textId="77777777">
        <w:trPr>
          <w:jc w:val="center"/>
        </w:trPr>
        <w:tc>
          <w:tcPr>
            <w:tcW w:w="10080" w:type="dxa"/>
            <w:shd w:val="clear" w:color="auto" w:fill="FFF4CC"/>
            <w:vAlign w:val="center"/>
          </w:tcPr>
          <w:p w14:paraId="65E9C767" w14:textId="77777777" w:rsidR="00A4746D" w:rsidRDefault="00000000">
            <w:pPr>
              <w:rPr>
                <w:rFonts w:hint="eastAsia"/>
              </w:rPr>
            </w:pPr>
            <w:r>
              <w:rPr>
                <w:b/>
                <w:color w:val="1F4E79"/>
              </w:rPr>
              <w:t>THE JEWEL</w:t>
            </w:r>
            <w:r>
              <w:rPr>
                <w:b/>
                <w:color w:val="1F4E79"/>
              </w:rPr>
              <w:br/>
            </w:r>
            <w:r>
              <w:t>There is a difference between a balance reporting and a balance being carried past the due date. Do not pay interest just because somebody told you that you must carry a balance to build credit.</w:t>
            </w:r>
          </w:p>
        </w:tc>
      </w:tr>
    </w:tbl>
    <w:p w14:paraId="3FED1425" w14:textId="77777777" w:rsidR="00A4746D" w:rsidRDefault="00A4746D">
      <w:pPr>
        <w:spacing w:after="0"/>
        <w:rPr>
          <w:rFonts w:hint="eastAsia"/>
        </w:rPr>
      </w:pPr>
    </w:p>
    <w:p w14:paraId="052AA2FE" w14:textId="77777777" w:rsidR="00A4746D" w:rsidRDefault="00000000">
      <w:pPr>
        <w:pStyle w:val="Heading1"/>
      </w:pPr>
      <w:r>
        <w:t>3. LENGTH OF CREDIT HISTORY - 15%</w:t>
      </w:r>
    </w:p>
    <w:p w14:paraId="4FBB8BB1" w14:textId="77777777" w:rsidR="00A4746D" w:rsidRDefault="00000000">
      <w:pPr>
        <w:rPr>
          <w:rFonts w:hint="eastAsia"/>
        </w:rPr>
      </w:pPr>
      <w:r>
        <w:rPr>
          <w:b/>
          <w:color w:val="DAA520"/>
          <w:sz w:val="24"/>
        </w:rPr>
        <w:t>UP TO 82.5 POINTS POTENTIALLY AT RISK</w:t>
      </w:r>
    </w:p>
    <w:p w14:paraId="68EADF96" w14:textId="77777777" w:rsidR="00A4746D" w:rsidRDefault="00000000">
      <w:pPr>
        <w:rPr>
          <w:rFonts w:hint="eastAsia"/>
        </w:rPr>
      </w:pPr>
      <w:r>
        <w:t>Length of credit history generally represents approximately 15% of a FICO Score.</w:t>
      </w:r>
    </w:p>
    <w:p w14:paraId="159078FA" w14:textId="77777777" w:rsidR="00A4746D" w:rsidRDefault="00000000">
      <w:pPr>
        <w:rPr>
          <w:rFonts w:hint="eastAsia"/>
        </w:rPr>
      </w:pPr>
      <w:r>
        <w:t>Scoring can consider the age of your oldest account, newest account, average account age, how long particular accounts have existed, and other age-related information.</w:t>
      </w:r>
    </w:p>
    <w:p w14:paraId="627DCF7B" w14:textId="77777777" w:rsidR="00A4746D" w:rsidRDefault="00000000">
      <w:pPr>
        <w:rPr>
          <w:rFonts w:hint="eastAsia"/>
        </w:rPr>
      </w:pPr>
      <w:r>
        <w:t>Opening accounts just because somebody says you need more credit can work against you because every new account is new and may reduce your average age.</w:t>
      </w:r>
    </w:p>
    <w:tbl>
      <w:tblPr>
        <w:tblW w:w="0" w:type="auto"/>
        <w:jc w:val="center"/>
        <w:tblLook w:val="04A0" w:firstRow="1" w:lastRow="0" w:firstColumn="1" w:lastColumn="0" w:noHBand="0" w:noVBand="1"/>
      </w:tblPr>
      <w:tblGrid>
        <w:gridCol w:w="10080"/>
      </w:tblGrid>
      <w:tr w:rsidR="00A4746D" w14:paraId="4621034D" w14:textId="77777777">
        <w:trPr>
          <w:jc w:val="center"/>
        </w:trPr>
        <w:tc>
          <w:tcPr>
            <w:tcW w:w="10080" w:type="dxa"/>
            <w:shd w:val="clear" w:color="auto" w:fill="FFF4CC"/>
            <w:vAlign w:val="center"/>
          </w:tcPr>
          <w:p w14:paraId="0F8D9886" w14:textId="77777777" w:rsidR="00A4746D" w:rsidRDefault="00000000">
            <w:pPr>
              <w:rPr>
                <w:rFonts w:hint="eastAsia"/>
              </w:rPr>
            </w:pPr>
            <w:r>
              <w:rPr>
                <w:b/>
                <w:color w:val="1F4E79"/>
              </w:rPr>
              <w:t>THE JEWEL</w:t>
            </w:r>
            <w:r>
              <w:rPr>
                <w:b/>
                <w:color w:val="1F4E79"/>
              </w:rPr>
              <w:br/>
            </w:r>
            <w:r>
              <w:t>Time cannot be rushed. Do not automatically close an established account just because the balance reaches $0. Consider its age, limit, annual fee, effect on utilization, spending risk, and your financial goals.</w:t>
            </w:r>
          </w:p>
        </w:tc>
      </w:tr>
    </w:tbl>
    <w:p w14:paraId="7B888AC5" w14:textId="77777777" w:rsidR="00A4746D" w:rsidRDefault="00A4746D">
      <w:pPr>
        <w:spacing w:after="0"/>
        <w:rPr>
          <w:rFonts w:hint="eastAsia"/>
        </w:rPr>
      </w:pPr>
    </w:p>
    <w:p w14:paraId="404093B0" w14:textId="77777777" w:rsidR="00A4746D" w:rsidRDefault="00000000">
      <w:pPr>
        <w:pStyle w:val="Heading1"/>
      </w:pPr>
      <w:r>
        <w:t>4. NEW CREDIT - 10%</w:t>
      </w:r>
    </w:p>
    <w:p w14:paraId="086EA4FA" w14:textId="77777777" w:rsidR="00A4746D" w:rsidRDefault="00000000">
      <w:pPr>
        <w:rPr>
          <w:rFonts w:hint="eastAsia"/>
        </w:rPr>
      </w:pPr>
      <w:r>
        <w:rPr>
          <w:b/>
          <w:color w:val="DAA520"/>
          <w:sz w:val="24"/>
        </w:rPr>
        <w:t>UP TO 55 POINTS POTENTIALLY AT RISK</w:t>
      </w:r>
    </w:p>
    <w:p w14:paraId="17BBBCBA" w14:textId="77777777" w:rsidR="00A4746D" w:rsidRDefault="00000000">
      <w:pPr>
        <w:rPr>
          <w:rFonts w:hint="eastAsia"/>
        </w:rPr>
      </w:pPr>
      <w:r>
        <w:t>New credit generally represents approximately 10% of a FICO Score. It involves more than hard inquiries and can include recently opened accounts and other new-credit activity.</w:t>
      </w:r>
    </w:p>
    <w:p w14:paraId="1843DE00" w14:textId="77777777" w:rsidR="00A4746D" w:rsidRDefault="00000000">
      <w:pPr>
        <w:rPr>
          <w:rFonts w:hint="eastAsia"/>
        </w:rPr>
      </w:pPr>
      <w:r>
        <w:t>A hard inquiry generally occurs when you apply for credit and a lender accesses your credit information as part of its decision. A soft inquiry generally does not affect your FICO score.</w:t>
      </w:r>
    </w:p>
    <w:p w14:paraId="7EA862D7" w14:textId="77777777" w:rsidR="00A4746D" w:rsidRDefault="00000000">
      <w:pPr>
        <w:rPr>
          <w:rFonts w:hint="eastAsia"/>
        </w:rPr>
      </w:pPr>
      <w:r>
        <w:t>Checking your own credit through an appropriate consumer-access method does not hurt your FICO score.</w:t>
      </w:r>
    </w:p>
    <w:tbl>
      <w:tblPr>
        <w:tblW w:w="0" w:type="auto"/>
        <w:jc w:val="center"/>
        <w:tblLook w:val="04A0" w:firstRow="1" w:lastRow="0" w:firstColumn="1" w:lastColumn="0" w:noHBand="0" w:noVBand="1"/>
      </w:tblPr>
      <w:tblGrid>
        <w:gridCol w:w="10080"/>
      </w:tblGrid>
      <w:tr w:rsidR="00A4746D" w14:paraId="0E799413" w14:textId="77777777">
        <w:trPr>
          <w:jc w:val="center"/>
        </w:trPr>
        <w:tc>
          <w:tcPr>
            <w:tcW w:w="10080" w:type="dxa"/>
            <w:shd w:val="clear" w:color="auto" w:fill="FFF4CC"/>
            <w:vAlign w:val="center"/>
          </w:tcPr>
          <w:p w14:paraId="1CE4BED4" w14:textId="77777777" w:rsidR="00A4746D" w:rsidRDefault="00000000">
            <w:pPr>
              <w:rPr>
                <w:rFonts w:hint="eastAsia"/>
              </w:rPr>
            </w:pPr>
            <w:r>
              <w:rPr>
                <w:b/>
                <w:color w:val="1F4E79"/>
              </w:rPr>
              <w:t>THE JEWEL</w:t>
            </w:r>
            <w:r>
              <w:rPr>
                <w:b/>
                <w:color w:val="1F4E79"/>
              </w:rPr>
              <w:br/>
            </w:r>
            <w:r>
              <w:t>Apply with purpose. Prequalified does not mean you need it. Every application should have a reason.</w:t>
            </w:r>
          </w:p>
        </w:tc>
      </w:tr>
    </w:tbl>
    <w:p w14:paraId="69325432" w14:textId="77777777" w:rsidR="00A4746D" w:rsidRDefault="00A4746D">
      <w:pPr>
        <w:spacing w:after="0"/>
        <w:rPr>
          <w:rFonts w:hint="eastAsia"/>
        </w:rPr>
      </w:pPr>
    </w:p>
    <w:p w14:paraId="4AD50450" w14:textId="77777777" w:rsidR="00A4746D" w:rsidRDefault="00000000">
      <w:pPr>
        <w:pStyle w:val="Heading1"/>
      </w:pPr>
      <w:r>
        <w:t>5. CREDIT MIX - 10%</w:t>
      </w:r>
    </w:p>
    <w:p w14:paraId="69135E75" w14:textId="77777777" w:rsidR="00A4746D" w:rsidRDefault="00000000">
      <w:pPr>
        <w:rPr>
          <w:rFonts w:hint="eastAsia"/>
        </w:rPr>
      </w:pPr>
      <w:r>
        <w:rPr>
          <w:b/>
          <w:color w:val="DAA520"/>
          <w:sz w:val="24"/>
        </w:rPr>
        <w:t>UP TO 55 POINTS POTENTIALLY AT RISK</w:t>
      </w:r>
    </w:p>
    <w:p w14:paraId="271B8FD6" w14:textId="77777777" w:rsidR="00A4746D" w:rsidRDefault="00000000">
      <w:pPr>
        <w:rPr>
          <w:rFonts w:hint="eastAsia"/>
        </w:rPr>
      </w:pPr>
      <w:r>
        <w:t>Credit mix generally represents approximately 10% of a FICO Score. It can reflect experience with different types of credit, including revolving and installment accounts.</w:t>
      </w:r>
    </w:p>
    <w:p w14:paraId="6769DCB5" w14:textId="77777777" w:rsidR="00A4746D" w:rsidRDefault="00000000">
      <w:pPr>
        <w:rPr>
          <w:rFonts w:hint="eastAsia"/>
        </w:rPr>
      </w:pPr>
      <w:r>
        <w:t>Revolving credit can include bank and credit-union credit cards, retail cards, and other revolving lines. Installment credit can include auto loans, mortgages, student loans, personal loans, and certain credit-builder loans.</w:t>
      </w:r>
    </w:p>
    <w:p w14:paraId="6344EF08" w14:textId="77777777" w:rsidR="00A4746D" w:rsidRDefault="00000000">
      <w:pPr>
        <w:rPr>
          <w:rFonts w:hint="eastAsia"/>
        </w:rPr>
      </w:pPr>
      <w:r>
        <w:t>The important lesson is whether you can responsibly manage the credit you actually have.</w:t>
      </w:r>
    </w:p>
    <w:tbl>
      <w:tblPr>
        <w:tblW w:w="0" w:type="auto"/>
        <w:jc w:val="center"/>
        <w:tblLook w:val="04A0" w:firstRow="1" w:lastRow="0" w:firstColumn="1" w:lastColumn="0" w:noHBand="0" w:noVBand="1"/>
      </w:tblPr>
      <w:tblGrid>
        <w:gridCol w:w="10080"/>
      </w:tblGrid>
      <w:tr w:rsidR="00A4746D" w14:paraId="2F7E2771" w14:textId="77777777">
        <w:trPr>
          <w:jc w:val="center"/>
        </w:trPr>
        <w:tc>
          <w:tcPr>
            <w:tcW w:w="10080" w:type="dxa"/>
            <w:shd w:val="clear" w:color="auto" w:fill="FFF4CC"/>
            <w:vAlign w:val="center"/>
          </w:tcPr>
          <w:p w14:paraId="6692F998" w14:textId="77777777" w:rsidR="00A4746D" w:rsidRDefault="00000000">
            <w:pPr>
              <w:rPr>
                <w:rFonts w:hint="eastAsia"/>
              </w:rPr>
            </w:pPr>
            <w:r>
              <w:rPr>
                <w:b/>
                <w:color w:val="1F4E79"/>
              </w:rPr>
              <w:t>THE JEWEL</w:t>
            </w:r>
            <w:r>
              <w:rPr>
                <w:b/>
                <w:color w:val="1F4E79"/>
              </w:rPr>
              <w:br/>
            </w:r>
            <w:r>
              <w:t>Do not go get a loan and pay interest just because you think you need credit mix. Do not create unnecessary debt for theoretical points.</w:t>
            </w:r>
          </w:p>
        </w:tc>
      </w:tr>
    </w:tbl>
    <w:p w14:paraId="15BBF11F" w14:textId="77777777" w:rsidR="00A4746D" w:rsidRDefault="00A4746D">
      <w:pPr>
        <w:spacing w:after="0"/>
        <w:rPr>
          <w:rFonts w:hint="eastAsia"/>
        </w:rPr>
      </w:pPr>
    </w:p>
    <w:p w14:paraId="661DE848" w14:textId="77777777" w:rsidR="00A4746D" w:rsidRDefault="00000000">
      <w:pPr>
        <w:pStyle w:val="Heading1"/>
      </w:pPr>
      <w:r>
        <w:t>REPORTING DATE VS. DUE DATE</w:t>
      </w:r>
    </w:p>
    <w:p w14:paraId="246510F0" w14:textId="77777777" w:rsidR="00A4746D" w:rsidRDefault="00000000">
      <w:pPr>
        <w:rPr>
          <w:rFonts w:hint="eastAsia"/>
        </w:rPr>
      </w:pPr>
      <w:r>
        <w:t>This is extremely important. Most people only pay attention to the due date. I want you paying attention to BOTH.</w:t>
      </w:r>
    </w:p>
    <w:p w14:paraId="5447878D" w14:textId="77777777" w:rsidR="00A4746D" w:rsidRDefault="00000000">
      <w:pPr>
        <w:pStyle w:val="Heading2"/>
      </w:pPr>
      <w:r>
        <w:t>Due Date</w:t>
      </w:r>
    </w:p>
    <w:p w14:paraId="5728072F" w14:textId="77777777" w:rsidR="00A4746D" w:rsidRDefault="00000000">
      <w:pPr>
        <w:rPr>
          <w:rFonts w:hint="eastAsia"/>
        </w:rPr>
      </w:pPr>
      <w:r>
        <w:t>Your due date tells you when your required payment must be made to the creditor. This is primarily about keeping the account current and protecting your payment history.</w:t>
      </w:r>
    </w:p>
    <w:p w14:paraId="35A8838C" w14:textId="77777777" w:rsidR="00A4746D" w:rsidRDefault="00000000">
      <w:pPr>
        <w:pStyle w:val="Heading2"/>
      </w:pPr>
      <w:r>
        <w:t>Reporting Date / Statement Closing Date</w:t>
      </w:r>
    </w:p>
    <w:p w14:paraId="1CCB53CC" w14:textId="77777777" w:rsidR="00A4746D" w:rsidRDefault="00000000">
      <w:pPr>
        <w:rPr>
          <w:rFonts w:hint="eastAsia"/>
        </w:rPr>
      </w:pPr>
      <w:r>
        <w:t>Creditors generally report account information periodically, often using information associated with the statement cycle. The balance reported to the consumer reporting agencies may therefore be different from the balance sitting in your online account today.</w:t>
      </w:r>
    </w:p>
    <w:p w14:paraId="3F5A8CF4" w14:textId="77777777" w:rsidR="00A4746D" w:rsidRDefault="00000000">
      <w:pPr>
        <w:rPr>
          <w:rFonts w:hint="eastAsia"/>
        </w:rPr>
      </w:pPr>
      <w:r>
        <w:t>Example: You have a $5,000 credit limit and a $2,000 balance. If approximately $2,000 is the balance reported, that card can show around 40% utilization. You could later pay the balance by the due date, but the previously reported balance may remain until the creditor reports again.</w:t>
      </w:r>
    </w:p>
    <w:tbl>
      <w:tblPr>
        <w:tblW w:w="0" w:type="auto"/>
        <w:jc w:val="center"/>
        <w:tblLook w:val="04A0" w:firstRow="1" w:lastRow="0" w:firstColumn="1" w:lastColumn="0" w:noHBand="0" w:noVBand="1"/>
      </w:tblPr>
      <w:tblGrid>
        <w:gridCol w:w="10080"/>
      </w:tblGrid>
      <w:tr w:rsidR="00A4746D" w14:paraId="5EBB3D6A" w14:textId="77777777">
        <w:trPr>
          <w:jc w:val="center"/>
        </w:trPr>
        <w:tc>
          <w:tcPr>
            <w:tcW w:w="10080" w:type="dxa"/>
            <w:shd w:val="clear" w:color="auto" w:fill="FFF4CC"/>
            <w:vAlign w:val="center"/>
          </w:tcPr>
          <w:p w14:paraId="0FDE504C" w14:textId="77777777" w:rsidR="00A4746D" w:rsidRDefault="00000000">
            <w:pPr>
              <w:rPr>
                <w:rFonts w:hint="eastAsia"/>
              </w:rPr>
            </w:pPr>
            <w:r>
              <w:rPr>
                <w:b/>
                <w:color w:val="1F4E79"/>
              </w:rPr>
              <w:t>THE JEWEL:</w:t>
            </w:r>
            <w:r>
              <w:rPr>
                <w:b/>
                <w:color w:val="1F4E79"/>
              </w:rPr>
              <w:br/>
            </w:r>
            <w:r>
              <w:t>DO NOT JUST MANAGE THE DUE DATE. MANAGE THE REPORTING CYCLE. If you are preparing for a major credit application or trying to optimize reported utilization, consider paying revolving balances down before the balance is reported. Check each creditor's actual statement closing and reporting behavior because they do not all report exactly the same way.</w:t>
            </w:r>
          </w:p>
        </w:tc>
      </w:tr>
    </w:tbl>
    <w:p w14:paraId="502FE220" w14:textId="77777777" w:rsidR="00A4746D" w:rsidRDefault="00A4746D">
      <w:pPr>
        <w:spacing w:after="0"/>
        <w:rPr>
          <w:rFonts w:hint="eastAsia"/>
        </w:rPr>
      </w:pPr>
    </w:p>
    <w:p w14:paraId="5802BE90" w14:textId="77777777" w:rsidR="00A4746D" w:rsidRDefault="00000000">
      <w:pPr>
        <w:pStyle w:val="Heading1"/>
      </w:pPr>
      <w:r>
        <w:t>INDIVIDUAL VS. OVERALL UTILIZATION</w:t>
      </w:r>
    </w:p>
    <w:p w14:paraId="7C558B73" w14:textId="77777777" w:rsidR="00A4746D" w:rsidRDefault="00000000">
      <w:pPr>
        <w:rPr>
          <w:rFonts w:hint="eastAsia"/>
        </w:rPr>
      </w:pPr>
      <w:r>
        <w:t>You can have low overall utilization and still have one card nearly maxed out.</w:t>
      </w:r>
    </w:p>
    <w:p w14:paraId="78D3C59E" w14:textId="77777777" w:rsidR="00A4746D" w:rsidRDefault="00000000">
      <w:pPr>
        <w:rPr>
          <w:rFonts w:hint="eastAsia"/>
        </w:rPr>
      </w:pPr>
      <w:r>
        <w:t>Example: Five cards total $50,000 in available revolving credit. Total balances are $5,000, which equals 10% overall utilization. But if one $5,000-limit card contains the entire $5,000 balance, that individual card is 100% utilized.</w:t>
      </w:r>
    </w:p>
    <w:tbl>
      <w:tblPr>
        <w:tblW w:w="0" w:type="auto"/>
        <w:jc w:val="center"/>
        <w:tblLook w:val="04A0" w:firstRow="1" w:lastRow="0" w:firstColumn="1" w:lastColumn="0" w:noHBand="0" w:noVBand="1"/>
      </w:tblPr>
      <w:tblGrid>
        <w:gridCol w:w="10080"/>
      </w:tblGrid>
      <w:tr w:rsidR="00A4746D" w14:paraId="1874475F" w14:textId="77777777">
        <w:trPr>
          <w:jc w:val="center"/>
        </w:trPr>
        <w:tc>
          <w:tcPr>
            <w:tcW w:w="10080" w:type="dxa"/>
            <w:shd w:val="clear" w:color="auto" w:fill="FFF4CC"/>
            <w:vAlign w:val="center"/>
          </w:tcPr>
          <w:p w14:paraId="6F512E90" w14:textId="77777777" w:rsidR="00A4746D" w:rsidRDefault="00000000">
            <w:pPr>
              <w:rPr>
                <w:rFonts w:hint="eastAsia"/>
              </w:rPr>
            </w:pPr>
            <w:r>
              <w:rPr>
                <w:b/>
                <w:color w:val="1F4E79"/>
              </w:rPr>
              <w:t>THE JEWEL:</w:t>
            </w:r>
            <w:r>
              <w:rPr>
                <w:b/>
                <w:color w:val="1F4E79"/>
              </w:rPr>
              <w:br/>
            </w:r>
            <w:r>
              <w:t>Pay attention to BOTH overall revolving utilization and utilization on each individual revolving account. Do not hide a maxed-out card behind high limits on other cards.</w:t>
            </w:r>
          </w:p>
        </w:tc>
      </w:tr>
    </w:tbl>
    <w:p w14:paraId="3FE2C122" w14:textId="77777777" w:rsidR="00A4746D" w:rsidRDefault="00A4746D">
      <w:pPr>
        <w:spacing w:after="0"/>
        <w:rPr>
          <w:rFonts w:hint="eastAsia"/>
        </w:rPr>
      </w:pPr>
    </w:p>
    <w:p w14:paraId="791802F9" w14:textId="77777777" w:rsidR="00A4746D" w:rsidRDefault="00000000">
      <w:pPr>
        <w:pStyle w:val="Heading1"/>
      </w:pPr>
      <w:r>
        <w:t>THE 550-POINT LESSON</w:t>
      </w:r>
    </w:p>
    <w:p w14:paraId="2937118E" w14:textId="77777777" w:rsidR="00A4746D" w:rsidRDefault="00000000">
      <w:pPr>
        <w:rPr>
          <w:rFonts w:hint="eastAsia"/>
        </w:rPr>
      </w:pPr>
      <w:r>
        <w:t>Payment History - 35% - Up to 192.5 points potentially at risk.</w:t>
      </w:r>
    </w:p>
    <w:p w14:paraId="40A93B3E" w14:textId="77777777" w:rsidR="00A4746D" w:rsidRDefault="00000000">
      <w:pPr>
        <w:rPr>
          <w:rFonts w:hint="eastAsia"/>
        </w:rPr>
      </w:pPr>
      <w:r>
        <w:t>Amounts Owed / Utilization - 30% - Up to 165 points potentially at risk.</w:t>
      </w:r>
    </w:p>
    <w:p w14:paraId="37529E61" w14:textId="77777777" w:rsidR="00A4746D" w:rsidRDefault="00000000">
      <w:pPr>
        <w:rPr>
          <w:rFonts w:hint="eastAsia"/>
        </w:rPr>
      </w:pPr>
      <w:r>
        <w:t>Length of Credit History - 15% - Up to 82.5 points potentially at risk.</w:t>
      </w:r>
    </w:p>
    <w:p w14:paraId="7792B571" w14:textId="77777777" w:rsidR="00A4746D" w:rsidRDefault="00000000">
      <w:pPr>
        <w:rPr>
          <w:rFonts w:hint="eastAsia"/>
        </w:rPr>
      </w:pPr>
      <w:r>
        <w:t>New Credit - 10% - Up to 55 points potentially at risk.</w:t>
      </w:r>
    </w:p>
    <w:p w14:paraId="5247B7D2" w14:textId="77777777" w:rsidR="00A4746D" w:rsidRDefault="00000000">
      <w:pPr>
        <w:rPr>
          <w:rFonts w:hint="eastAsia"/>
        </w:rPr>
      </w:pPr>
      <w:r>
        <w:t>Credit Mix - 10% - Up to 55 points potentially at risk.</w:t>
      </w:r>
    </w:p>
    <w:p w14:paraId="2463D23A" w14:textId="77777777" w:rsidR="00A4746D" w:rsidRDefault="00000000">
      <w:pPr>
        <w:rPr>
          <w:rFonts w:hint="eastAsia"/>
        </w:rPr>
      </w:pPr>
      <w:r>
        <w:t>Payment History plus Amounts Owed equals 65% of the general weighting. Using the 550-point educational illustration, that represents 357.5 points of the scoring range.</w:t>
      </w:r>
    </w:p>
    <w:p w14:paraId="2484B3DE" w14:textId="77777777" w:rsidR="00A4746D" w:rsidRDefault="00000000">
      <w:pPr>
        <w:rPr>
          <w:rFonts w:hint="eastAsia"/>
        </w:rPr>
      </w:pPr>
      <w:r>
        <w:t>That should immediately tell you where your attention belongs: pay obligations as agreed, control revolving balances, know your statement cycles, know your reporting dates, know your due dates, and stop applying for credit without a reason.</w:t>
      </w:r>
    </w:p>
    <w:p w14:paraId="11F5195A" w14:textId="77777777" w:rsidR="00A4746D" w:rsidRDefault="00000000">
      <w:pPr>
        <w:pStyle w:val="Heading1"/>
      </w:pPr>
      <w:r>
        <w:t>KNOW YOUR CREDIT</w:t>
      </w:r>
    </w:p>
    <w:p w14:paraId="02DA5309" w14:textId="77777777" w:rsidR="00A4746D" w:rsidRDefault="00000000">
      <w:pPr>
        <w:rPr>
          <w:rFonts w:hint="eastAsia"/>
        </w:rPr>
      </w:pPr>
      <w:r>
        <w:t>You cannot properly manage something you refuse to look at. Review all three nationwide consumer reporting agency reports because the information can be different.</w:t>
      </w:r>
    </w:p>
    <w:p w14:paraId="0CB042BC" w14:textId="77777777" w:rsidR="00A4746D" w:rsidRDefault="00000000">
      <w:pPr>
        <w:pStyle w:val="ListBullet"/>
        <w:rPr>
          <w:rFonts w:hint="eastAsia"/>
        </w:rPr>
      </w:pPr>
      <w:r>
        <w:t>Accounts you do not recognize</w:t>
      </w:r>
    </w:p>
    <w:p w14:paraId="60FCDE32" w14:textId="77777777" w:rsidR="00A4746D" w:rsidRDefault="00000000">
      <w:pPr>
        <w:pStyle w:val="ListBullet"/>
        <w:rPr>
          <w:rFonts w:hint="eastAsia"/>
        </w:rPr>
      </w:pPr>
      <w:r>
        <w:t>Incorrect balances or limits</w:t>
      </w:r>
    </w:p>
    <w:p w14:paraId="5FE501F7" w14:textId="77777777" w:rsidR="00A4746D" w:rsidRDefault="00000000">
      <w:pPr>
        <w:pStyle w:val="ListBullet"/>
        <w:rPr>
          <w:rFonts w:hint="eastAsia"/>
        </w:rPr>
      </w:pPr>
      <w:r>
        <w:t>Incorrect payment history</w:t>
      </w:r>
    </w:p>
    <w:p w14:paraId="6F893B2B" w14:textId="77777777" w:rsidR="00A4746D" w:rsidRDefault="00000000">
      <w:pPr>
        <w:pStyle w:val="ListBullet"/>
        <w:rPr>
          <w:rFonts w:hint="eastAsia"/>
        </w:rPr>
      </w:pPr>
      <w:r>
        <w:t>Duplicate information</w:t>
      </w:r>
    </w:p>
    <w:p w14:paraId="7EAFC3AC" w14:textId="77777777" w:rsidR="00A4746D" w:rsidRDefault="00000000">
      <w:pPr>
        <w:pStyle w:val="ListBullet"/>
        <w:rPr>
          <w:rFonts w:hint="eastAsia"/>
        </w:rPr>
      </w:pPr>
      <w:r>
        <w:t>Incorrect account status or dates</w:t>
      </w:r>
    </w:p>
    <w:p w14:paraId="37F2A2A2" w14:textId="77777777" w:rsidR="00A4746D" w:rsidRDefault="00000000">
      <w:pPr>
        <w:pStyle w:val="ListBullet"/>
        <w:rPr>
          <w:rFonts w:hint="eastAsia"/>
        </w:rPr>
      </w:pPr>
      <w:r>
        <w:t>Accounts that do not belong to you</w:t>
      </w:r>
    </w:p>
    <w:p w14:paraId="7255F225" w14:textId="77777777" w:rsidR="00A4746D" w:rsidRDefault="00000000">
      <w:pPr>
        <w:pStyle w:val="ListBullet"/>
        <w:rPr>
          <w:rFonts w:hint="eastAsia"/>
        </w:rPr>
      </w:pPr>
      <w:r>
        <w:t>Personal information that may indicate a mixed file</w:t>
      </w:r>
    </w:p>
    <w:p w14:paraId="663778B7" w14:textId="77777777" w:rsidR="00A4746D" w:rsidRDefault="00000000">
      <w:pPr>
        <w:pStyle w:val="ListBullet"/>
        <w:rPr>
          <w:rFonts w:hint="eastAsia"/>
        </w:rPr>
      </w:pPr>
      <w:r>
        <w:t>Unauthorized inquiries</w:t>
      </w:r>
    </w:p>
    <w:p w14:paraId="791EE74F" w14:textId="77777777" w:rsidR="00A4746D" w:rsidRDefault="00000000">
      <w:pPr>
        <w:pStyle w:val="ListBullet"/>
        <w:rPr>
          <w:rFonts w:hint="eastAsia"/>
        </w:rPr>
      </w:pPr>
      <w:r>
        <w:t>Outdated information</w:t>
      </w:r>
    </w:p>
    <w:p w14:paraId="319CB1F1" w14:textId="77777777" w:rsidR="00A4746D" w:rsidRDefault="00000000">
      <w:pPr>
        <w:pStyle w:val="ListBullet"/>
        <w:rPr>
          <w:rFonts w:hint="eastAsia"/>
        </w:rPr>
      </w:pPr>
      <w:r>
        <w:t>Fraud or identity-theft indicators</w:t>
      </w:r>
    </w:p>
    <w:tbl>
      <w:tblPr>
        <w:tblW w:w="0" w:type="auto"/>
        <w:jc w:val="center"/>
        <w:tblLook w:val="04A0" w:firstRow="1" w:lastRow="0" w:firstColumn="1" w:lastColumn="0" w:noHBand="0" w:noVBand="1"/>
      </w:tblPr>
      <w:tblGrid>
        <w:gridCol w:w="10080"/>
      </w:tblGrid>
      <w:tr w:rsidR="00A4746D" w14:paraId="72D33B88" w14:textId="77777777">
        <w:trPr>
          <w:jc w:val="center"/>
        </w:trPr>
        <w:tc>
          <w:tcPr>
            <w:tcW w:w="10080" w:type="dxa"/>
            <w:shd w:val="clear" w:color="auto" w:fill="FFF4CC"/>
            <w:vAlign w:val="center"/>
          </w:tcPr>
          <w:p w14:paraId="63634822" w14:textId="77777777" w:rsidR="00A4746D" w:rsidRDefault="00000000">
            <w:pPr>
              <w:rPr>
                <w:rFonts w:hint="eastAsia"/>
              </w:rPr>
            </w:pPr>
            <w:r>
              <w:rPr>
                <w:b/>
                <w:color w:val="1F4E79"/>
              </w:rPr>
              <w:t>REMEMBER:</w:t>
            </w:r>
            <w:r>
              <w:rPr>
                <w:b/>
                <w:color w:val="1F4E79"/>
              </w:rPr>
              <w:br/>
            </w:r>
            <w:r>
              <w:t>Negative does not automatically mean inaccurate. Something being bad for your score does not automatically give you the right to have it removed. If information is inaccurate, incomplete, or does not belong to you, you have consumer rights and options for addressing it.</w:t>
            </w:r>
          </w:p>
        </w:tc>
      </w:tr>
    </w:tbl>
    <w:p w14:paraId="2C9FC1ED" w14:textId="77777777" w:rsidR="00A4746D" w:rsidRDefault="00A4746D">
      <w:pPr>
        <w:spacing w:after="0"/>
        <w:rPr>
          <w:rFonts w:hint="eastAsia"/>
        </w:rPr>
      </w:pPr>
    </w:p>
    <w:p w14:paraId="07DF5BC5" w14:textId="77777777" w:rsidR="00A4746D" w:rsidRDefault="00000000">
      <w:pPr>
        <w:pStyle w:val="Heading1"/>
      </w:pPr>
      <w:r>
        <w:t>BUILDING AND MAINTAINING STRONG CREDIT</w:t>
      </w:r>
    </w:p>
    <w:p w14:paraId="1ED050A9" w14:textId="77777777" w:rsidR="00A4746D" w:rsidRDefault="00000000">
      <w:pPr>
        <w:rPr>
          <w:rFonts w:hint="eastAsia"/>
        </w:rPr>
      </w:pPr>
      <w:r>
        <w:rPr>
          <w:b/>
          <w:color w:val="1F4E79"/>
        </w:rPr>
        <w:t xml:space="preserve">PAY EVERYTHING ON TIME. </w:t>
      </w:r>
      <w:r>
        <w:t>Protect the 35% payment-history category.</w:t>
      </w:r>
    </w:p>
    <w:p w14:paraId="38B330CC" w14:textId="77777777" w:rsidR="00A4746D" w:rsidRDefault="00000000">
      <w:pPr>
        <w:rPr>
          <w:rFonts w:hint="eastAsia"/>
        </w:rPr>
      </w:pPr>
      <w:r>
        <w:rPr>
          <w:b/>
          <w:color w:val="1F4E79"/>
        </w:rPr>
        <w:t xml:space="preserve">KEEP REVOLVING UTILIZATION LOW. </w:t>
      </w:r>
      <w:r>
        <w:t>My educational target is 10% or below. If you can responsibly pay revolving debt to $0, that is excellent financially.</w:t>
      </w:r>
    </w:p>
    <w:p w14:paraId="4D63CDF0" w14:textId="77777777" w:rsidR="00A4746D" w:rsidRDefault="00000000">
      <w:pPr>
        <w:rPr>
          <w:rFonts w:hint="eastAsia"/>
        </w:rPr>
      </w:pPr>
      <w:r>
        <w:rPr>
          <w:b/>
          <w:color w:val="1F4E79"/>
        </w:rPr>
        <w:t xml:space="preserve">KNOW YOUR REPORTING DATES. </w:t>
      </w:r>
      <w:r>
        <w:t>Do not wait until the due date to think about utilization.</w:t>
      </w:r>
    </w:p>
    <w:p w14:paraId="08E04323" w14:textId="77777777" w:rsidR="00A4746D" w:rsidRDefault="00000000">
      <w:pPr>
        <w:rPr>
          <w:rFonts w:hint="eastAsia"/>
        </w:rPr>
      </w:pPr>
      <w:r>
        <w:rPr>
          <w:b/>
          <w:color w:val="1F4E79"/>
        </w:rPr>
        <w:t xml:space="preserve">KNOW YOUR DUE DATES. </w:t>
      </w:r>
      <w:r>
        <w:t>The reporting cycle helps you manage what balance may appear on your credit reports. The due date helps you avoid late payments. THEY ARE NOT THE SAME THING.</w:t>
      </w:r>
    </w:p>
    <w:p w14:paraId="1E7C4C1D" w14:textId="77777777" w:rsidR="00A4746D" w:rsidRDefault="00000000">
      <w:pPr>
        <w:rPr>
          <w:rFonts w:hint="eastAsia"/>
        </w:rPr>
      </w:pPr>
      <w:r>
        <w:rPr>
          <w:b/>
          <w:color w:val="1F4E79"/>
        </w:rPr>
        <w:t xml:space="preserve">PROTECT ESTABLISHED ACCOUNTS. </w:t>
      </w:r>
      <w:r>
        <w:t>Do not close established accounts without understanding the consequences.</w:t>
      </w:r>
    </w:p>
    <w:p w14:paraId="2180C96E" w14:textId="77777777" w:rsidR="00A4746D" w:rsidRDefault="00000000">
      <w:pPr>
        <w:rPr>
          <w:rFonts w:hint="eastAsia"/>
        </w:rPr>
      </w:pPr>
      <w:r>
        <w:rPr>
          <w:b/>
          <w:color w:val="1F4E79"/>
        </w:rPr>
        <w:t xml:space="preserve">APPLY WITH PURPOSE. </w:t>
      </w:r>
      <w:r>
        <w:t>Every application should have a reason.</w:t>
      </w:r>
    </w:p>
    <w:p w14:paraId="64BC5315" w14:textId="77777777" w:rsidR="00A4746D" w:rsidRDefault="00000000">
      <w:pPr>
        <w:rPr>
          <w:rFonts w:hint="eastAsia"/>
        </w:rPr>
      </w:pPr>
      <w:r>
        <w:rPr>
          <w:b/>
          <w:color w:val="1F4E79"/>
        </w:rPr>
        <w:t xml:space="preserve">BUILD A HEALTHY MIX NATURALLY. </w:t>
      </w:r>
      <w:r>
        <w:t>Do not borrow money simply because you think you need another account type.</w:t>
      </w:r>
    </w:p>
    <w:p w14:paraId="27CC2978" w14:textId="77777777" w:rsidR="00A4746D" w:rsidRDefault="00000000">
      <w:pPr>
        <w:rPr>
          <w:rFonts w:hint="eastAsia"/>
        </w:rPr>
      </w:pPr>
      <w:r>
        <w:rPr>
          <w:b/>
          <w:color w:val="1F4E79"/>
        </w:rPr>
        <w:t xml:space="preserve">CHECK YOUR CREDIT REPORTS. </w:t>
      </w:r>
      <w:r>
        <w:t>Errors cannot be addressed if you never know they exist.</w:t>
      </w:r>
    </w:p>
    <w:p w14:paraId="5E5F9617" w14:textId="77777777" w:rsidR="00A4746D" w:rsidRDefault="00000000">
      <w:pPr>
        <w:rPr>
          <w:rFonts w:hint="eastAsia"/>
        </w:rPr>
      </w:pPr>
      <w:r>
        <w:rPr>
          <w:b/>
          <w:color w:val="1F4E79"/>
        </w:rPr>
        <w:t xml:space="preserve">KEEP DOCUMENTATION. </w:t>
      </w:r>
      <w:r>
        <w:t>Save statements, payment confirmations, correspondence, account agreements, dispute results, and other important records.</w:t>
      </w:r>
    </w:p>
    <w:p w14:paraId="140DE4B9" w14:textId="77777777" w:rsidR="00A4746D" w:rsidRDefault="00000000">
      <w:pPr>
        <w:pStyle w:val="Heading1"/>
      </w:pPr>
      <w:r>
        <w:t>THE BIGGEST JEWEL</w:t>
      </w:r>
    </w:p>
    <w:p w14:paraId="740C440D" w14:textId="77777777" w:rsidR="00A4746D" w:rsidRDefault="00000000">
      <w:pPr>
        <w:rPr>
          <w:rFonts w:hint="eastAsia"/>
        </w:rPr>
      </w:pPr>
      <w:r>
        <w:t>Credit is a tool. That is it.</w:t>
      </w:r>
    </w:p>
    <w:p w14:paraId="159BA56E" w14:textId="77777777" w:rsidR="00A4746D" w:rsidRDefault="00000000">
      <w:pPr>
        <w:rPr>
          <w:rFonts w:hint="eastAsia"/>
        </w:rPr>
      </w:pPr>
      <w:r>
        <w:t>The goal should never be to spend your entire life chasing an 850. The goal is to understand the system well enough that you control your credit instead of your credit controlling you.</w:t>
      </w:r>
    </w:p>
    <w:p w14:paraId="0F26266F" w14:textId="77777777" w:rsidR="00A4746D" w:rsidRDefault="00000000">
      <w:pPr>
        <w:rPr>
          <w:rFonts w:hint="eastAsia"/>
        </w:rPr>
      </w:pPr>
      <w:r>
        <w:t>Strong credit can potentially help create better financing options, but the score is only one piece of the bigger financial picture. You still need income, savings, a manageable debt load, financial discipline, an emergency fund, responsible spending habits, proper documentation, and knowledge of your consumer rights.</w:t>
      </w:r>
    </w:p>
    <w:p w14:paraId="459D3003" w14:textId="77777777" w:rsidR="00A4746D" w:rsidRDefault="00000000">
      <w:pPr>
        <w:rPr>
          <w:rFonts w:hint="eastAsia"/>
        </w:rPr>
      </w:pPr>
      <w:r>
        <w:t>I want you to understand your credit well enough that when somebody says, 'Just keep it under 30%,' you know there is more to the story. When somebody says, 'Just pay it by the due date,' you understand why the reporting cycle also matters. When somebody says, 'Carry a balance because it builds credit,' you know carrying interest-bearing debt month to month is not required just to establish a FICO score.</w:t>
      </w:r>
    </w:p>
    <w:p w14:paraId="3A47CC11" w14:textId="77777777" w:rsidR="00A4746D" w:rsidRDefault="00000000">
      <w:pPr>
        <w:rPr>
          <w:rFonts w:hint="eastAsia"/>
        </w:rPr>
      </w:pPr>
      <w:r>
        <w:t>That is what financial education is supposed to do. Not just give you instructions. Teach you enough to make the decision for yourself.</w:t>
      </w:r>
    </w:p>
    <w:p w14:paraId="6F6C6E02" w14:textId="77777777" w:rsidR="00A4746D" w:rsidRDefault="00000000">
      <w:pPr>
        <w:pStyle w:val="Heading1"/>
      </w:pPr>
      <w:r>
        <w:t>EDUCATIONAL NOTICE</w:t>
      </w:r>
    </w:p>
    <w:p w14:paraId="673FDA55" w14:textId="532E8B0C" w:rsidR="00A4746D" w:rsidRDefault="00000000">
      <w:pPr>
        <w:rPr>
          <w:rFonts w:hint="eastAsia"/>
        </w:rPr>
      </w:pPr>
      <w:r>
        <w:t>This guide is provided for general consumer education. Credit scoring models, lender underwriting requirements, consumer circumstances, and reported information vary. The 'up to' point figures in this guide are an educational illustration derived by applying the commonly cited general FICO category percentages to the 550-point difference between 300 and 850; they are not a promise, guarantee, or literal point-loss formula. No particular credit-score increase, lending approval, deletion, interest rate, or financial outcome is guaranteed.</w:t>
      </w:r>
    </w:p>
    <w:sectPr w:rsidR="00A4746D" w:rsidSect="00034616">
      <w:headerReference w:type="default" r:id="rId8"/>
      <w:footerReference w:type="default" r:id="rId9"/>
      <w:pgSz w:w="12240" w:h="15840"/>
      <w:pgMar w:top="936" w:right="1080" w:bottom="936"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CC165D" w14:textId="77777777" w:rsidR="00C20849" w:rsidRDefault="00C20849">
      <w:pPr>
        <w:spacing w:after="0" w:line="240" w:lineRule="auto"/>
        <w:rPr>
          <w:rFonts w:hint="eastAsia"/>
        </w:rPr>
      </w:pPr>
      <w:r>
        <w:separator/>
      </w:r>
    </w:p>
  </w:endnote>
  <w:endnote w:type="continuationSeparator" w:id="0">
    <w:p w14:paraId="0742AD0B" w14:textId="77777777" w:rsidR="00C20849" w:rsidRDefault="00C20849">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1E7425" w14:textId="77777777" w:rsidR="00A4746D" w:rsidRDefault="00000000">
    <w:pPr>
      <w:pStyle w:val="Footer"/>
      <w:jc w:val="center"/>
      <w:rPr>
        <w:rFonts w:hint="eastAsia"/>
      </w:rPr>
    </w:pPr>
    <w:r>
      <w:rPr>
        <w:color w:val="5F5F5F"/>
        <w:sz w:val="16"/>
      </w:rPr>
      <w:t>Education First. Consumer Protection Always.  |  Updated August 20,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9E971A" w14:textId="77777777" w:rsidR="00C20849" w:rsidRDefault="00C20849">
      <w:pPr>
        <w:spacing w:after="0" w:line="240" w:lineRule="auto"/>
        <w:rPr>
          <w:rFonts w:hint="eastAsia"/>
        </w:rPr>
      </w:pPr>
      <w:r>
        <w:separator/>
      </w:r>
    </w:p>
  </w:footnote>
  <w:footnote w:type="continuationSeparator" w:id="0">
    <w:p w14:paraId="59D4D33A" w14:textId="77777777" w:rsidR="00C20849" w:rsidRDefault="00C20849">
      <w:pPr>
        <w:spacing w:after="0" w:line="240" w:lineRule="auto"/>
        <w:rPr>
          <w:rFonts w:hint="eastAsia"/>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06C04F" w14:textId="77777777" w:rsidR="00A4746D" w:rsidRDefault="00000000">
    <w:pPr>
      <w:pStyle w:val="Header"/>
      <w:jc w:val="center"/>
      <w:rPr>
        <w:rFonts w:hint="eastAsia"/>
      </w:rPr>
    </w:pPr>
    <w:r>
      <w:rPr>
        <w:b/>
        <w:color w:val="1F4E79"/>
        <w:sz w:val="16"/>
      </w:rPr>
      <w:t>DROPPING JEWELS CONSULTING  |  CONSUMER EDUCATION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254361421">
    <w:abstractNumId w:val="8"/>
  </w:num>
  <w:num w:numId="2" w16cid:durableId="1357344708">
    <w:abstractNumId w:val="6"/>
  </w:num>
  <w:num w:numId="3" w16cid:durableId="1097209236">
    <w:abstractNumId w:val="5"/>
  </w:num>
  <w:num w:numId="4" w16cid:durableId="1372727868">
    <w:abstractNumId w:val="4"/>
  </w:num>
  <w:num w:numId="5" w16cid:durableId="155927769">
    <w:abstractNumId w:val="7"/>
  </w:num>
  <w:num w:numId="6" w16cid:durableId="1734306270">
    <w:abstractNumId w:val="3"/>
  </w:num>
  <w:num w:numId="7" w16cid:durableId="1835534002">
    <w:abstractNumId w:val="2"/>
  </w:num>
  <w:num w:numId="8" w16cid:durableId="436029295">
    <w:abstractNumId w:val="1"/>
  </w:num>
  <w:num w:numId="9" w16cid:durableId="9803857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48"/>
  <w:proofState w:spelling="clean" w:grammar="clean"/>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5C7F6C"/>
    <w:rsid w:val="008D4E65"/>
    <w:rsid w:val="00937C63"/>
    <w:rsid w:val="00A4746D"/>
    <w:rsid w:val="00AA1D8D"/>
    <w:rsid w:val="00B47730"/>
    <w:rsid w:val="00C20849"/>
    <w:rsid w:val="00CB0664"/>
    <w:rsid w:val="00D66581"/>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6E1723D"/>
  <w14:defaultImageDpi w14:val="300"/>
  <w15:docId w15:val="{639084EA-DBF7-FC44-BA90-038CA2A91C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pPr>
    <w:rPr>
      <w:rFonts w:ascii="Aptos" w:hAnsi="Aptos"/>
      <w:sz w:val="21"/>
    </w:rPr>
  </w:style>
  <w:style w:type="paragraph" w:styleId="Heading1">
    <w:name w:val="heading 1"/>
    <w:basedOn w:val="Normal"/>
    <w:next w:val="Normal"/>
    <w:link w:val="Heading1Char"/>
    <w:uiPriority w:val="9"/>
    <w:qFormat/>
    <w:rsid w:val="00FC693F"/>
    <w:pPr>
      <w:keepNext/>
      <w:keepLines/>
      <w:spacing w:before="240"/>
      <w:outlineLvl w:val="0"/>
    </w:pPr>
    <w:rPr>
      <w:rFonts w:asciiTheme="majorHAnsi" w:eastAsiaTheme="majorEastAsia" w:hAnsiTheme="majorHAnsi" w:cstheme="majorBidi"/>
      <w:b/>
      <w:bCs/>
      <w:color w:val="1F4E79"/>
      <w:sz w:val="38"/>
      <w:szCs w:val="28"/>
    </w:rPr>
  </w:style>
  <w:style w:type="paragraph" w:styleId="Heading2">
    <w:name w:val="heading 2"/>
    <w:basedOn w:val="Normal"/>
    <w:next w:val="Normal"/>
    <w:link w:val="Heading2Char"/>
    <w:uiPriority w:val="9"/>
    <w:unhideWhenUsed/>
    <w:qFormat/>
    <w:rsid w:val="00FC693F"/>
    <w:pPr>
      <w:keepNext/>
      <w:keepLines/>
      <w:spacing w:before="240"/>
      <w:outlineLvl w:val="1"/>
    </w:pPr>
    <w:rPr>
      <w:rFonts w:asciiTheme="majorHAnsi" w:eastAsiaTheme="majorEastAsia" w:hAnsiTheme="majorHAnsi" w:cstheme="majorBidi"/>
      <w:b/>
      <w:bCs/>
      <w:color w:val="1F4E79"/>
      <w:sz w:val="28"/>
      <w:szCs w:val="26"/>
    </w:rPr>
  </w:style>
  <w:style w:type="paragraph" w:styleId="Heading3">
    <w:name w:val="heading 3"/>
    <w:basedOn w:val="Normal"/>
    <w:next w:val="Normal"/>
    <w:link w:val="Heading3Char"/>
    <w:uiPriority w:val="9"/>
    <w:unhideWhenUsed/>
    <w:qFormat/>
    <w:rsid w:val="00FC693F"/>
    <w:pPr>
      <w:keepNext/>
      <w:keepLines/>
      <w:spacing w:before="240"/>
      <w:outlineLvl w:val="2"/>
    </w:pPr>
    <w:rPr>
      <w:rFonts w:asciiTheme="majorHAnsi" w:eastAsiaTheme="majorEastAsia" w:hAnsiTheme="majorHAnsi" w:cstheme="majorBidi"/>
      <w:b/>
      <w:bCs/>
      <w:color w:val="1F4E79"/>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before="240" w:line="240" w:lineRule="auto"/>
      <w:contextualSpacing/>
    </w:pPr>
    <w:rPr>
      <w:rFonts w:asciiTheme="majorHAnsi" w:eastAsiaTheme="majorEastAsia" w:hAnsiTheme="majorHAnsi" w:cstheme="majorBidi"/>
      <w:b/>
      <w:color w:val="1F4E79"/>
      <w:spacing w:val="5"/>
      <w:kern w:val="28"/>
      <w:sz w:val="5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 /><Relationship Id="rId3" Type="http://schemas.openxmlformats.org/officeDocument/2006/relationships/styles" Target="styles.xml" /><Relationship Id="rId7" Type="http://schemas.openxmlformats.org/officeDocument/2006/relationships/endnotes" Target="endnotes.xml" /><Relationship Id="rId2" Type="http://schemas.openxmlformats.org/officeDocument/2006/relationships/numbering" Target="numbering.xml" /><Relationship Id="rId1" Type="http://schemas.openxmlformats.org/officeDocument/2006/relationships/customXml" Target="../customXml/item1.xml" /><Relationship Id="rId6" Type="http://schemas.openxmlformats.org/officeDocument/2006/relationships/footnotes" Target="footnotes.xml" /><Relationship Id="rId11" Type="http://schemas.openxmlformats.org/officeDocument/2006/relationships/theme" Target="theme/theme1.xml" /><Relationship Id="rId5" Type="http://schemas.openxmlformats.org/officeDocument/2006/relationships/webSettings" Target="webSettings.xml" /><Relationship Id="rId10" Type="http://schemas.openxmlformats.org/officeDocument/2006/relationships/fontTable" Target="fontTable.xml" /><Relationship Id="rId4" Type="http://schemas.openxmlformats.org/officeDocument/2006/relationships/settings" Target="settings.xml" /><Relationship Id="rId9" Type="http://schemas.openxmlformats.org/officeDocument/2006/relationships/footer" Target="foot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Pages>
  <Words>2052</Words>
  <Characters>11698</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13723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Xavier Anthony</cp:lastModifiedBy>
  <cp:revision>4</cp:revision>
  <dcterms:created xsi:type="dcterms:W3CDTF">2013-12-23T23:15:00Z</dcterms:created>
  <dcterms:modified xsi:type="dcterms:W3CDTF">2026-08-20T20:40:00Z</dcterms:modified>
  <cp:category/>
</cp:coreProperties>
</file>